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8D" w:rsidRDefault="00A4065B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</w:t>
      </w:r>
    </w:p>
    <w:p w:rsidR="0073518D" w:rsidRDefault="00A4065B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КОММУНАРОВСКОГО СЕЛЬСКОГО ПОСЕЛЕНИЯ</w:t>
      </w:r>
      <w:r>
        <w:rPr>
          <w:sz w:val="20"/>
          <w:szCs w:val="20"/>
        </w:rPr>
        <w:br/>
        <w:t>ЛЕНИНСКОГО МУНИЦИПАЛЬНОГО РАЙОНА</w:t>
      </w:r>
      <w:r>
        <w:rPr>
          <w:sz w:val="20"/>
          <w:szCs w:val="20"/>
        </w:rPr>
        <w:br/>
        <w:t>ВОЛГОГРАДСКОЙ ОБЛАСТИ</w:t>
      </w:r>
    </w:p>
    <w:p w:rsidR="0073518D" w:rsidRDefault="00A4065B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:rsidR="0073518D" w:rsidRDefault="0073518D">
      <w:pPr>
        <w:pStyle w:val="Standard"/>
        <w:jc w:val="center"/>
        <w:rPr>
          <w:sz w:val="20"/>
          <w:szCs w:val="20"/>
        </w:rPr>
      </w:pPr>
    </w:p>
    <w:p w:rsidR="0073518D" w:rsidRDefault="00A4065B">
      <w:pPr>
        <w:pStyle w:val="Standard"/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ПОСТАНОВЛЕНИЕ</w:t>
      </w:r>
    </w:p>
    <w:p w:rsidR="0073518D" w:rsidRDefault="0073518D">
      <w:pPr>
        <w:pStyle w:val="Standard"/>
        <w:widowControl w:val="0"/>
        <w:rPr>
          <w:sz w:val="20"/>
          <w:szCs w:val="20"/>
        </w:rPr>
      </w:pPr>
    </w:p>
    <w:p w:rsidR="0073518D" w:rsidRDefault="00A4065B">
      <w:pPr>
        <w:pStyle w:val="Standard"/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  <w:r>
        <w:rPr>
          <w:sz w:val="20"/>
          <w:szCs w:val="20"/>
        </w:rPr>
        <w:t xml:space="preserve">17.04.2025 года </w:t>
      </w:r>
      <w:r>
        <w:rPr>
          <w:sz w:val="20"/>
          <w:szCs w:val="20"/>
        </w:rPr>
        <w:t xml:space="preserve">  №</w:t>
      </w:r>
      <w:r>
        <w:rPr>
          <w:sz w:val="20"/>
          <w:szCs w:val="20"/>
        </w:rPr>
        <w:t xml:space="preserve"> 14</w:t>
      </w:r>
    </w:p>
    <w:p w:rsidR="0073518D" w:rsidRDefault="0073518D">
      <w:pPr>
        <w:pStyle w:val="Standard"/>
        <w:widowControl w:val="0"/>
        <w:rPr>
          <w:sz w:val="20"/>
          <w:szCs w:val="20"/>
        </w:rPr>
      </w:pPr>
    </w:p>
    <w:p w:rsidR="0073518D" w:rsidRDefault="00A4065B">
      <w:pPr>
        <w:pStyle w:val="Standard"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внесении изменений в </w:t>
      </w:r>
      <w:r>
        <w:rPr>
          <w:sz w:val="20"/>
          <w:szCs w:val="20"/>
        </w:rPr>
        <w:t>постановление администрации Коммунаровского сельского поселения от 19.11.2021 № 34 «Об утверждении муниципальной программы «Повышение безопасности дорожного движения на территории Коммунаровского сельского поселения Ленинского муниципального района Волгогр</w:t>
      </w:r>
      <w:r>
        <w:rPr>
          <w:sz w:val="20"/>
          <w:szCs w:val="20"/>
        </w:rPr>
        <w:t>адской области»</w:t>
      </w:r>
    </w:p>
    <w:p w:rsidR="0073518D" w:rsidRDefault="0073518D">
      <w:pPr>
        <w:pStyle w:val="Standard"/>
        <w:spacing w:line="240" w:lineRule="exact"/>
        <w:ind w:firstLine="709"/>
        <w:jc w:val="both"/>
        <w:rPr>
          <w:sz w:val="20"/>
          <w:szCs w:val="20"/>
        </w:rPr>
      </w:pPr>
    </w:p>
    <w:p w:rsidR="0073518D" w:rsidRDefault="0073518D">
      <w:pPr>
        <w:pStyle w:val="Standard"/>
        <w:widowControl w:val="0"/>
        <w:jc w:val="center"/>
        <w:rPr>
          <w:sz w:val="20"/>
          <w:szCs w:val="20"/>
        </w:rPr>
      </w:pPr>
    </w:p>
    <w:p w:rsidR="0073518D" w:rsidRDefault="00A4065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В соответствии со статьей 174.3 Бюджетного Кодекса РФ,  с Федеральным законом от 06.10.2003 г. № 131-ФЗ «Об общих принципах организации местного самоуправления в Российской Федерации», руководствуясь Уставом Коммунаровского  сел</w:t>
      </w:r>
      <w:r>
        <w:rPr>
          <w:sz w:val="20"/>
          <w:szCs w:val="20"/>
        </w:rPr>
        <w:t>ьского поселения:</w:t>
      </w:r>
    </w:p>
    <w:p w:rsidR="0073518D" w:rsidRDefault="00A4065B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3518D" w:rsidRDefault="00A4065B">
      <w:pPr>
        <w:pStyle w:val="Standard"/>
        <w:widowControl w:val="0"/>
        <w:shd w:val="clear" w:color="auto" w:fill="FFFFFF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ПОСТАНОВЛЯЮ:</w:t>
      </w:r>
    </w:p>
    <w:p w:rsidR="0073518D" w:rsidRDefault="0073518D">
      <w:pPr>
        <w:pStyle w:val="Standard"/>
        <w:widowControl w:val="0"/>
        <w:shd w:val="clear" w:color="auto" w:fill="FFFFFF"/>
        <w:ind w:firstLine="709"/>
        <w:jc w:val="both"/>
        <w:rPr>
          <w:b/>
          <w:sz w:val="20"/>
          <w:szCs w:val="20"/>
        </w:rPr>
      </w:pPr>
    </w:p>
    <w:p w:rsidR="0073518D" w:rsidRDefault="00A4065B">
      <w:pPr>
        <w:pStyle w:val="a7"/>
        <w:numPr>
          <w:ilvl w:val="0"/>
          <w:numId w:val="1"/>
        </w:numPr>
        <w:contextualSpacing w:val="0"/>
      </w:pP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Внести изменения в постановление администрации Коммунаровского</w:t>
      </w:r>
    </w:p>
    <w:p w:rsidR="0073518D" w:rsidRDefault="00A4065B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сельского поселения от 19.11.2021 № 34 «Об утверждении муниципальной программы «Повышение безопасности дорожного движения на территории Коммунаровского сельск</w:t>
      </w:r>
      <w:r>
        <w:rPr>
          <w:sz w:val="20"/>
          <w:szCs w:val="20"/>
        </w:rPr>
        <w:t xml:space="preserve">ого поселения Ленинского муниципального района Волгоградской области».    </w:t>
      </w:r>
    </w:p>
    <w:p w:rsidR="0073518D" w:rsidRDefault="0073518D">
      <w:pPr>
        <w:pStyle w:val="Standard"/>
        <w:spacing w:line="276" w:lineRule="auto"/>
        <w:rPr>
          <w:sz w:val="20"/>
          <w:szCs w:val="20"/>
        </w:rPr>
      </w:pPr>
    </w:p>
    <w:p w:rsidR="0073518D" w:rsidRDefault="00A4065B">
      <w:pPr>
        <w:pStyle w:val="Standard"/>
        <w:numPr>
          <w:ilvl w:val="1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В раздел паспорта 5. Обоснование объема финансовых ресурсов, необходимых для реализации муниципальной программы</w:t>
      </w:r>
      <w:bookmarkStart w:id="0" w:name="_GoBack"/>
      <w:bookmarkEnd w:id="0"/>
      <w:r>
        <w:rPr>
          <w:sz w:val="20"/>
          <w:szCs w:val="20"/>
        </w:rPr>
        <w:t xml:space="preserve"> добавить объем финансирования в сумме 2644,64 </w:t>
      </w:r>
      <w:proofErr w:type="spellStart"/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</w:t>
      </w:r>
      <w:proofErr w:type="spellEnd"/>
      <w:r>
        <w:rPr>
          <w:sz w:val="20"/>
          <w:szCs w:val="20"/>
        </w:rPr>
        <w:t xml:space="preserve">  в раздел с</w:t>
      </w:r>
      <w:r>
        <w:rPr>
          <w:sz w:val="20"/>
          <w:szCs w:val="20"/>
        </w:rPr>
        <w:t>одержание автомобильных дорог местного значения в границах населенных пунктов поселения на 2025 год.</w:t>
      </w:r>
    </w:p>
    <w:p w:rsidR="0073518D" w:rsidRDefault="00A4065B">
      <w:pPr>
        <w:pStyle w:val="Standar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1.2.В форму 1,2,3,внести изменения по объему финансирования.</w:t>
      </w:r>
    </w:p>
    <w:p w:rsidR="0073518D" w:rsidRDefault="0073518D">
      <w:pPr>
        <w:pStyle w:val="Standard"/>
        <w:tabs>
          <w:tab w:val="left" w:pos="709"/>
        </w:tabs>
        <w:spacing w:line="276" w:lineRule="auto"/>
        <w:rPr>
          <w:sz w:val="20"/>
          <w:szCs w:val="20"/>
        </w:rPr>
      </w:pPr>
    </w:p>
    <w:p w:rsidR="0073518D" w:rsidRDefault="00A4065B">
      <w:pPr>
        <w:pStyle w:val="Standard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2. Контроль исполнения постановления оставляю за собой.</w:t>
      </w:r>
    </w:p>
    <w:p w:rsidR="0073518D" w:rsidRDefault="00A4065B">
      <w:pPr>
        <w:pStyle w:val="Standard"/>
        <w:widowControl w:val="0"/>
        <w:tabs>
          <w:tab w:val="left" w:pos="993"/>
        </w:tabs>
        <w:jc w:val="both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3. Постановление вступает в силу с </w:t>
      </w:r>
      <w:r>
        <w:rPr>
          <w:color w:val="000000"/>
          <w:sz w:val="20"/>
          <w:szCs w:val="20"/>
          <w:lang w:bidi="ru-RU"/>
        </w:rPr>
        <w:t>момента его официального обнародования.</w:t>
      </w:r>
    </w:p>
    <w:p w:rsidR="0073518D" w:rsidRDefault="0073518D">
      <w:pPr>
        <w:pStyle w:val="Standard"/>
        <w:widowControl w:val="0"/>
        <w:tabs>
          <w:tab w:val="left" w:pos="1701"/>
        </w:tabs>
        <w:ind w:left="708"/>
        <w:jc w:val="both"/>
        <w:rPr>
          <w:color w:val="000000"/>
          <w:sz w:val="20"/>
          <w:szCs w:val="20"/>
          <w:lang w:bidi="ru-RU"/>
        </w:rPr>
      </w:pPr>
    </w:p>
    <w:p w:rsidR="0073518D" w:rsidRDefault="0073518D">
      <w:pPr>
        <w:pStyle w:val="Standard"/>
        <w:widowControl w:val="0"/>
        <w:tabs>
          <w:tab w:val="left" w:pos="1701"/>
        </w:tabs>
        <w:ind w:left="708"/>
        <w:jc w:val="both"/>
        <w:rPr>
          <w:color w:val="000000"/>
          <w:sz w:val="20"/>
          <w:szCs w:val="20"/>
          <w:lang w:bidi="ru-RU"/>
        </w:rPr>
      </w:pPr>
    </w:p>
    <w:p w:rsidR="0073518D" w:rsidRDefault="00A4065B">
      <w:pPr>
        <w:pStyle w:val="Standard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Глава Коммунаровского</w:t>
      </w:r>
    </w:p>
    <w:p w:rsidR="0073518D" w:rsidRDefault="00A4065B">
      <w:pPr>
        <w:pStyle w:val="Standard"/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О.Х. Бредихина</w:t>
      </w:r>
    </w:p>
    <w:p w:rsidR="0073518D" w:rsidRDefault="0073518D">
      <w:pPr>
        <w:pStyle w:val="Standard"/>
        <w:spacing w:line="276" w:lineRule="auto"/>
        <w:ind w:firstLine="709"/>
        <w:jc w:val="center"/>
        <w:rPr>
          <w:b/>
          <w:sz w:val="20"/>
          <w:szCs w:val="20"/>
        </w:rPr>
      </w:pPr>
    </w:p>
    <w:p w:rsidR="0073518D" w:rsidRDefault="0073518D">
      <w:pPr>
        <w:pStyle w:val="Standard"/>
        <w:tabs>
          <w:tab w:val="left" w:pos="709"/>
        </w:tabs>
        <w:spacing w:line="276" w:lineRule="auto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AA5831" w:rsidRDefault="00AA5831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73518D">
      <w:pPr>
        <w:pStyle w:val="Standard"/>
        <w:spacing w:line="240" w:lineRule="exact"/>
        <w:outlineLvl w:val="0"/>
        <w:rPr>
          <w:sz w:val="20"/>
          <w:szCs w:val="20"/>
        </w:rPr>
      </w:pPr>
    </w:p>
    <w:p w:rsidR="0073518D" w:rsidRDefault="00A4065B" w:rsidP="00AA5831">
      <w:pPr>
        <w:pStyle w:val="Standard"/>
        <w:spacing w:line="240" w:lineRule="exact"/>
        <w:ind w:firstLine="708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УТВЕРЖДЕНА</w:t>
      </w:r>
    </w:p>
    <w:p w:rsidR="0073518D" w:rsidRDefault="0073518D">
      <w:pPr>
        <w:pStyle w:val="Standard"/>
        <w:spacing w:line="240" w:lineRule="exact"/>
        <w:ind w:left="4820" w:firstLine="1559"/>
        <w:outlineLvl w:val="0"/>
        <w:rPr>
          <w:sz w:val="20"/>
          <w:szCs w:val="20"/>
        </w:rPr>
      </w:pPr>
    </w:p>
    <w:p w:rsidR="0073518D" w:rsidRDefault="00A4065B">
      <w:pPr>
        <w:pStyle w:val="Standard"/>
        <w:spacing w:line="240" w:lineRule="exact"/>
        <w:ind w:left="4820" w:firstLine="1559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    </w:t>
      </w:r>
    </w:p>
    <w:p w:rsidR="0073518D" w:rsidRDefault="00A4065B">
      <w:pPr>
        <w:pStyle w:val="Standard"/>
        <w:spacing w:line="240" w:lineRule="exact"/>
        <w:ind w:left="4820" w:firstLine="1559"/>
        <w:outlineLvl w:val="0"/>
        <w:rPr>
          <w:sz w:val="20"/>
          <w:szCs w:val="20"/>
        </w:rPr>
      </w:pPr>
      <w:r>
        <w:rPr>
          <w:sz w:val="20"/>
          <w:szCs w:val="20"/>
        </w:rPr>
        <w:t>администрации</w:t>
      </w:r>
    </w:p>
    <w:p w:rsidR="0073518D" w:rsidRDefault="00A4065B">
      <w:pPr>
        <w:pStyle w:val="Standard"/>
        <w:spacing w:line="240" w:lineRule="exact"/>
        <w:ind w:left="6379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Коммунаровского сельского поселения                                                                     </w:t>
      </w:r>
      <w:r>
        <w:rPr>
          <w:sz w:val="20"/>
          <w:szCs w:val="20"/>
        </w:rPr>
        <w:t xml:space="preserve">                                      от 19 ноября 2021 №34</w:t>
      </w:r>
    </w:p>
    <w:p w:rsidR="0073518D" w:rsidRDefault="0073518D">
      <w:pPr>
        <w:pStyle w:val="Standard"/>
        <w:spacing w:line="240" w:lineRule="exact"/>
        <w:jc w:val="center"/>
        <w:rPr>
          <w:b/>
          <w:bCs/>
          <w:sz w:val="20"/>
          <w:szCs w:val="20"/>
        </w:rPr>
      </w:pPr>
      <w:bookmarkStart w:id="1" w:name="Par44"/>
      <w:bookmarkEnd w:id="1"/>
    </w:p>
    <w:p w:rsidR="0073518D" w:rsidRDefault="00A4065B">
      <w:pPr>
        <w:pStyle w:val="Standard"/>
        <w:spacing w:line="24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МУНИЦИПАЛЬНАЯ ПРОГРАММА</w:t>
      </w:r>
    </w:p>
    <w:p w:rsidR="0073518D" w:rsidRDefault="00A4065B">
      <w:pPr>
        <w:pStyle w:val="Standard"/>
        <w:spacing w:line="240" w:lineRule="exact"/>
        <w:jc w:val="center"/>
      </w:pPr>
      <w:r>
        <w:rPr>
          <w:b/>
          <w:bCs/>
          <w:sz w:val="20"/>
          <w:szCs w:val="20"/>
        </w:rPr>
        <w:t xml:space="preserve">«Повышение безопасности дорожного движения на территории </w:t>
      </w:r>
      <w:r>
        <w:rPr>
          <w:b/>
          <w:sz w:val="20"/>
          <w:szCs w:val="20"/>
        </w:rPr>
        <w:t>Коммунаровского</w:t>
      </w:r>
      <w:r>
        <w:rPr>
          <w:b/>
          <w:bCs/>
          <w:sz w:val="20"/>
          <w:szCs w:val="20"/>
        </w:rPr>
        <w:t xml:space="preserve"> сельского поселения Ленинского муниципального района Волгоградской области»</w:t>
      </w:r>
    </w:p>
    <w:p w:rsidR="0073518D" w:rsidRDefault="0073518D">
      <w:pPr>
        <w:pStyle w:val="Standard"/>
        <w:spacing w:line="240" w:lineRule="exact"/>
        <w:ind w:firstLine="709"/>
        <w:jc w:val="both"/>
        <w:rPr>
          <w:sz w:val="20"/>
          <w:szCs w:val="20"/>
        </w:rPr>
      </w:pPr>
    </w:p>
    <w:p w:rsidR="0073518D" w:rsidRDefault="0073518D">
      <w:pPr>
        <w:pStyle w:val="Standard"/>
        <w:widowControl w:val="0"/>
        <w:spacing w:line="276" w:lineRule="auto"/>
        <w:jc w:val="center"/>
        <w:rPr>
          <w:b/>
          <w:sz w:val="20"/>
          <w:szCs w:val="20"/>
        </w:rPr>
      </w:pPr>
    </w:p>
    <w:p w:rsidR="0073518D" w:rsidRDefault="00A4065B">
      <w:pPr>
        <w:pStyle w:val="Standard"/>
        <w:widowControl w:val="0"/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Паспорт</w:t>
      </w:r>
    </w:p>
    <w:p w:rsidR="0073518D" w:rsidRDefault="00A4065B">
      <w:pPr>
        <w:pStyle w:val="Standard"/>
        <w:widowControl w:val="0"/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</w:t>
      </w:r>
      <w:r>
        <w:rPr>
          <w:b/>
          <w:sz w:val="20"/>
          <w:szCs w:val="20"/>
        </w:rPr>
        <w:t>й программы «Повышение безопасности дорожного движения на территории Коммунаровского сельского поселения Ленинского района Волгоградской области»</w:t>
      </w:r>
    </w:p>
    <w:p w:rsidR="0073518D" w:rsidRDefault="0073518D">
      <w:pPr>
        <w:pStyle w:val="Standard"/>
        <w:spacing w:line="276" w:lineRule="auto"/>
        <w:rPr>
          <w:b/>
          <w:sz w:val="20"/>
          <w:szCs w:val="20"/>
        </w:rPr>
      </w:pPr>
    </w:p>
    <w:tbl>
      <w:tblPr>
        <w:tblW w:w="1006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73518D">
        <w:trPr>
          <w:trHeight w:val="10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Коммунаровского сельского поселения</w:t>
            </w:r>
          </w:p>
        </w:tc>
      </w:tr>
      <w:tr w:rsidR="0073518D">
        <w:trPr>
          <w:trHeight w:val="7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Соисполнители программы (подпрограммы)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73518D">
        <w:trPr>
          <w:trHeight w:val="60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Подпрограммы программы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</w:tr>
      <w:tr w:rsidR="0073518D">
        <w:trPr>
          <w:trHeight w:val="7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Цели программы (подпрограммы)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количества ДТП и пострадавших в них</w:t>
            </w:r>
          </w:p>
        </w:tc>
      </w:tr>
      <w:tr w:rsidR="0073518D">
        <w:trPr>
          <w:trHeight w:val="15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Задачи программы (подпрограммы)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- разработка и применение эффективных схем, методов и </w:t>
            </w:r>
            <w:r>
              <w:rPr>
                <w:spacing w:val="2"/>
                <w:sz w:val="20"/>
                <w:szCs w:val="20"/>
              </w:rPr>
              <w:t>средств организации дорожного движения</w:t>
            </w:r>
          </w:p>
          <w:p w:rsidR="0073518D" w:rsidRDefault="00A4065B">
            <w:pPr>
              <w:pStyle w:val="Standard"/>
              <w:widowControl w:val="0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- ликвидация и профилактика возникновения опасных участков на сети автомобильных дорог</w:t>
            </w:r>
          </w:p>
          <w:p w:rsidR="0073518D" w:rsidRDefault="00A4065B">
            <w:pPr>
              <w:pStyle w:val="Standard"/>
              <w:widowControl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 обеспечение сохранности автомобильных дорог, улучшение их технического состояния</w:t>
            </w:r>
          </w:p>
          <w:p w:rsidR="0073518D" w:rsidRDefault="00A4065B">
            <w:pPr>
              <w:pStyle w:val="Standard"/>
              <w:widowControl w:val="0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- содержание специализированной техники и имуще</w:t>
            </w:r>
            <w:r>
              <w:rPr>
                <w:rFonts w:eastAsia="Arial Unicode MS"/>
                <w:sz w:val="20"/>
                <w:szCs w:val="20"/>
              </w:rPr>
              <w:t>ства</w:t>
            </w:r>
          </w:p>
        </w:tc>
      </w:tr>
      <w:tr w:rsidR="0073518D">
        <w:trPr>
          <w:trHeight w:val="12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Целевые показатели программы (подпрограммы), их значения на последний год реализации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протяженность улиц,</w:t>
            </w:r>
          </w:p>
          <w:p w:rsidR="0073518D" w:rsidRDefault="00A4065B">
            <w:pPr>
              <w:pStyle w:val="Standard"/>
              <w:widowControl w:val="0"/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количество отработанных человеко-часов</w:t>
            </w:r>
          </w:p>
        </w:tc>
      </w:tr>
      <w:tr w:rsidR="0073518D">
        <w:trPr>
          <w:trHeight w:val="9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Сроки и этапы реализации программы    </w:t>
            </w:r>
            <w:r>
              <w:rPr>
                <w:rFonts w:eastAsia="Calibri"/>
                <w:sz w:val="20"/>
                <w:szCs w:val="20"/>
              </w:rPr>
              <w:br/>
              <w:t>(подпрограммы)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2022-2029 годы</w:t>
            </w:r>
          </w:p>
        </w:tc>
      </w:tr>
      <w:tr w:rsidR="0073518D">
        <w:trPr>
          <w:trHeight w:val="13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Объемы и источники </w:t>
            </w:r>
            <w:r>
              <w:rPr>
                <w:rFonts w:eastAsia="Calibri"/>
                <w:sz w:val="20"/>
                <w:szCs w:val="20"/>
              </w:rPr>
              <w:t>финансирования программы (подпрограммы)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бюджета Коммунаровского сельского поселения Ленинского района Волгоградской области в размере –  2644,64 тыс. рублей. из них средства дорожного фонда – 2644,64тыс., средства поселения – 0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3518D">
        <w:trPr>
          <w:trHeight w:val="157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</w:t>
            </w:r>
            <w:r>
              <w:rPr>
                <w:sz w:val="20"/>
                <w:szCs w:val="20"/>
              </w:rPr>
              <w:t>е результаты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сокращение количества пострадавших в результате ДТП;</w:t>
            </w:r>
          </w:p>
          <w:p w:rsidR="0073518D" w:rsidRDefault="00A4065B">
            <w:pPr>
              <w:pStyle w:val="Standard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улучшение качества улично-дорожной сети, расположенной на территории Коммунаровского сельского поселения Ленинского муниципального района </w:t>
            </w:r>
            <w:r>
              <w:rPr>
                <w:sz w:val="20"/>
                <w:szCs w:val="20"/>
              </w:rPr>
              <w:t>Волгоградской области</w:t>
            </w:r>
          </w:p>
        </w:tc>
      </w:tr>
    </w:tbl>
    <w:p w:rsidR="0073518D" w:rsidRDefault="00A4065B">
      <w:pPr>
        <w:pStyle w:val="Standard"/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1. Общая характеристика сферы реализации муниципальной программы</w:t>
      </w:r>
    </w:p>
    <w:p w:rsidR="0073518D" w:rsidRDefault="0073518D">
      <w:pPr>
        <w:pStyle w:val="Standard"/>
        <w:tabs>
          <w:tab w:val="left" w:pos="709"/>
        </w:tabs>
        <w:spacing w:line="276" w:lineRule="auto"/>
        <w:ind w:firstLine="709"/>
        <w:rPr>
          <w:sz w:val="20"/>
          <w:szCs w:val="20"/>
        </w:rPr>
      </w:pP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Автомобилизация населения является важнейшей составной частью прогресса общества. Роль автомобильного транспорта в современном мире трудно переоценить, он имеет </w:t>
      </w:r>
      <w:r>
        <w:rPr>
          <w:sz w:val="20"/>
          <w:szCs w:val="20"/>
        </w:rPr>
        <w:t>огромное значение для удовлетворения не только экономических, но и социальных потребностей населения.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</w:t>
      </w:r>
      <w:r>
        <w:rPr>
          <w:sz w:val="20"/>
          <w:szCs w:val="20"/>
        </w:rPr>
        <w:t>ь на автомобильных дорогах.  Человечество несет не только физические и моральные потери, но и огромный материальный урон от ДТП. Безопасность дорожного движения стала серьезной проблемой органов государственной власти и органов местного самоуправления, име</w:t>
      </w:r>
      <w:r>
        <w:rPr>
          <w:sz w:val="20"/>
          <w:szCs w:val="20"/>
        </w:rPr>
        <w:t>ющей огромное социальное и политическое значение. Обществу наносится непоправимый ущерб.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Повышение уровня аварийности на автомобильных дорогах в последнее время объясняется рядом следующих факторов: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● темпы роста парка транспортных средств не соответствуют</w:t>
      </w:r>
      <w:r>
        <w:rPr>
          <w:sz w:val="20"/>
          <w:szCs w:val="20"/>
        </w:rPr>
        <w:t xml:space="preserve"> темпам строительства и реконструкции дорог;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● недостаточное финансирование работ служб эксплуатации дорог ведет к значительному ухудшению условий движения;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● большинство транспортных средств, пострадавших в ДТП, имеет большой срок эксплуатации и не соотве</w:t>
      </w:r>
      <w:r>
        <w:rPr>
          <w:sz w:val="20"/>
          <w:szCs w:val="20"/>
        </w:rPr>
        <w:t>тствует современным требованиям безопасности движения;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● отмечается ухудшение транспортной дисциплины участников движения, прежде всего владельцев индивидуальных автотранспортных средств и пешеходов.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Сложившаяся обстановка вызывает тревогу и требует </w:t>
      </w:r>
      <w:r>
        <w:rPr>
          <w:sz w:val="20"/>
          <w:szCs w:val="20"/>
        </w:rPr>
        <w:t>принятия самых решительных мер.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Сохранение жизни и здоровья людей – актуальная проблема и для Коммунаровского сельского поселения.</w:t>
      </w:r>
    </w:p>
    <w:p w:rsidR="0073518D" w:rsidRDefault="00A4065B">
      <w:pPr>
        <w:pStyle w:val="Standard"/>
        <w:spacing w:line="276" w:lineRule="auto"/>
        <w:ind w:firstLine="709"/>
        <w:jc w:val="both"/>
      </w:pPr>
      <w:r>
        <w:rPr>
          <w:sz w:val="20"/>
          <w:szCs w:val="20"/>
        </w:rPr>
        <w:t>По территории Коммунаровского сельского поселения пролегают: улично-дорожная сеть</w:t>
      </w:r>
      <w:r>
        <w:rPr>
          <w:sz w:val="20"/>
          <w:szCs w:val="20"/>
          <w:shd w:val="clear" w:color="auto" w:fill="FFFFFF"/>
        </w:rPr>
        <w:t xml:space="preserve"> – 48,7 км</w:t>
      </w:r>
      <w:r>
        <w:rPr>
          <w:sz w:val="20"/>
          <w:szCs w:val="20"/>
        </w:rPr>
        <w:t>, в том числе: дороги с твердым по</w:t>
      </w:r>
      <w:r>
        <w:rPr>
          <w:sz w:val="20"/>
          <w:szCs w:val="20"/>
        </w:rPr>
        <w:t xml:space="preserve">крытием </w:t>
      </w:r>
      <w:r>
        <w:rPr>
          <w:sz w:val="20"/>
          <w:szCs w:val="20"/>
          <w:shd w:val="clear" w:color="auto" w:fill="FFFFFF"/>
        </w:rPr>
        <w:t>– 15,0 км</w:t>
      </w:r>
      <w:r>
        <w:rPr>
          <w:sz w:val="20"/>
          <w:szCs w:val="20"/>
        </w:rPr>
        <w:t>.</w:t>
      </w:r>
    </w:p>
    <w:p w:rsidR="0073518D" w:rsidRDefault="0073518D">
      <w:pPr>
        <w:pStyle w:val="Standard"/>
        <w:tabs>
          <w:tab w:val="left" w:pos="709"/>
        </w:tabs>
        <w:spacing w:line="276" w:lineRule="auto"/>
        <w:ind w:firstLine="709"/>
        <w:jc w:val="center"/>
        <w:rPr>
          <w:b/>
          <w:sz w:val="20"/>
          <w:szCs w:val="20"/>
        </w:rPr>
      </w:pP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 Цели, задачи, сроки и этапы реализации муниципальной программы</w:t>
      </w:r>
    </w:p>
    <w:p w:rsidR="0073518D" w:rsidRDefault="0073518D">
      <w:pPr>
        <w:pStyle w:val="Standard"/>
        <w:tabs>
          <w:tab w:val="left" w:pos="709"/>
        </w:tabs>
        <w:spacing w:line="276" w:lineRule="auto"/>
        <w:ind w:firstLine="709"/>
        <w:rPr>
          <w:sz w:val="20"/>
          <w:szCs w:val="20"/>
        </w:rPr>
      </w:pP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Целями Программы являются сокращение количества ДТП, количества пострадавших в них.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Для достижения указанных целей необходимо решить следующие задачи:</w:t>
      </w:r>
    </w:p>
    <w:p w:rsidR="0073518D" w:rsidRDefault="00A4065B">
      <w:pPr>
        <w:pStyle w:val="Standard"/>
        <w:ind w:firstLine="709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- разработка и при</w:t>
      </w:r>
      <w:r>
        <w:rPr>
          <w:spacing w:val="2"/>
          <w:sz w:val="20"/>
          <w:szCs w:val="20"/>
        </w:rPr>
        <w:t>менение эффективных схем, методов и средств организации дорожного движения;</w:t>
      </w:r>
    </w:p>
    <w:p w:rsidR="0073518D" w:rsidRDefault="00A4065B">
      <w:pPr>
        <w:pStyle w:val="Standard"/>
        <w:ind w:firstLine="709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- ликвидация и профилактика возникновения опасных участков на сети автомобильных дорог;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 обеспечение сохранности автомобильных дорог, улучшение их технического состояния.</w:t>
      </w:r>
    </w:p>
    <w:p w:rsidR="0073518D" w:rsidRDefault="00A4065B">
      <w:pPr>
        <w:pStyle w:val="Standard"/>
        <w:tabs>
          <w:tab w:val="left" w:pos="709"/>
        </w:tabs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-- содер</w:t>
      </w:r>
      <w:r>
        <w:rPr>
          <w:rFonts w:eastAsia="Arial Unicode MS"/>
          <w:sz w:val="20"/>
          <w:szCs w:val="20"/>
        </w:rPr>
        <w:t>жание специализированной техники и имущества.</w:t>
      </w:r>
    </w:p>
    <w:p w:rsidR="0073518D" w:rsidRDefault="0073518D">
      <w:pPr>
        <w:pStyle w:val="Standard"/>
        <w:tabs>
          <w:tab w:val="left" w:pos="709"/>
        </w:tabs>
        <w:spacing w:line="276" w:lineRule="auto"/>
        <w:ind w:firstLine="709"/>
        <w:jc w:val="both"/>
        <w:rPr>
          <w:rFonts w:eastAsia="Arial Unicode MS"/>
          <w:sz w:val="20"/>
          <w:szCs w:val="20"/>
        </w:rPr>
      </w:pP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Срок реализации Программы – 2022-2029 годы.</w:t>
      </w:r>
    </w:p>
    <w:p w:rsidR="0073518D" w:rsidRDefault="00A4065B">
      <w:pPr>
        <w:pStyle w:val="Standard"/>
        <w:numPr>
          <w:ilvl w:val="0"/>
          <w:numId w:val="3"/>
        </w:num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73518D" w:rsidRDefault="00A4065B">
      <w:pPr>
        <w:pStyle w:val="Standard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Целевые показатели достижения целей и решения за</w:t>
      </w:r>
      <w:r>
        <w:rPr>
          <w:sz w:val="20"/>
          <w:szCs w:val="20"/>
        </w:rPr>
        <w:t>дач представлены в приложении 2.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Реал</w:t>
      </w:r>
      <w:r>
        <w:rPr>
          <w:sz w:val="20"/>
          <w:szCs w:val="20"/>
        </w:rPr>
        <w:t>изация мероприятий Программы позволит обеспечить сокращение количества ДТП на дорогах Коммунаровского сельского поселения, сократить число пострадавших в ДТП, совершенствовать условия дорожного движения по улицам и дорогам Коммунаровского сельского поселен</w:t>
      </w:r>
      <w:r>
        <w:rPr>
          <w:sz w:val="20"/>
          <w:szCs w:val="20"/>
        </w:rPr>
        <w:t>ия.</w:t>
      </w:r>
    </w:p>
    <w:p w:rsidR="0073518D" w:rsidRDefault="0073518D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</w:p>
    <w:p w:rsidR="0073518D" w:rsidRDefault="00A4065B">
      <w:pPr>
        <w:pStyle w:val="Standard"/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 Обобщенная характеристика основных мероприятий (подпрограмм) муниципальной программы</w:t>
      </w:r>
    </w:p>
    <w:p w:rsidR="0073518D" w:rsidRDefault="0073518D">
      <w:pPr>
        <w:pStyle w:val="Standard"/>
        <w:tabs>
          <w:tab w:val="left" w:pos="709"/>
        </w:tabs>
        <w:spacing w:line="276" w:lineRule="auto"/>
        <w:rPr>
          <w:sz w:val="20"/>
          <w:szCs w:val="20"/>
        </w:rPr>
      </w:pP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Мероприятия Программы реализуются за счет средств  местного бюджета.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Объемы финансирования Программы за счет средств местного бюджета и средств местного бюджета </w:t>
      </w:r>
      <w:r>
        <w:rPr>
          <w:sz w:val="20"/>
          <w:szCs w:val="20"/>
        </w:rPr>
        <w:t>носят прогнозный характер и подлежат ежегодному уточнению в установленном порядке при формировании проектов местного бюджета на очередной финансовый год и плановый период исходя из реальных возможностей.</w:t>
      </w:r>
    </w:p>
    <w:p w:rsidR="0073518D" w:rsidRDefault="00A4065B">
      <w:pPr>
        <w:pStyle w:val="Standard"/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На реализацию Программы предусмотрено 14305,58 тыс. </w:t>
      </w:r>
      <w:r>
        <w:rPr>
          <w:sz w:val="20"/>
          <w:szCs w:val="20"/>
        </w:rPr>
        <w:t>рублей.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Перечень мероприятий Программы представлен в приложении 1 к настоящей Программе.</w:t>
      </w:r>
    </w:p>
    <w:p w:rsidR="0073518D" w:rsidRDefault="00A4065B">
      <w:pPr>
        <w:pStyle w:val="Standard"/>
        <w:tabs>
          <w:tab w:val="left" w:pos="709"/>
        </w:tabs>
        <w:spacing w:line="276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Обоснование объема финансовых ресурсов, необходимых для реализации муниципальной программы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769"/>
        <w:gridCol w:w="1031"/>
        <w:gridCol w:w="1311"/>
        <w:gridCol w:w="1452"/>
        <w:gridCol w:w="1768"/>
        <w:gridCol w:w="1209"/>
        <w:gridCol w:w="1381"/>
      </w:tblGrid>
      <w:tr w:rsidR="0073518D">
        <w:tc>
          <w:tcPr>
            <w:tcW w:w="769" w:type="dxa"/>
            <w:vMerge w:val="restart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spacing w:before="15" w:after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769" w:type="dxa"/>
            <w:vMerge w:val="restart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spacing w:before="15" w:after="15"/>
              <w:rPr>
                <w:sz w:val="20"/>
                <w:szCs w:val="20"/>
              </w:rPr>
            </w:pPr>
          </w:p>
        </w:tc>
        <w:tc>
          <w:tcPr>
            <w:tcW w:w="8152" w:type="dxa"/>
            <w:gridSpan w:val="6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spacing w:before="15" w:after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 руб.</w:t>
            </w:r>
          </w:p>
        </w:tc>
      </w:tr>
      <w:tr w:rsidR="0073518D">
        <w:tc>
          <w:tcPr>
            <w:tcW w:w="769" w:type="dxa"/>
            <w:vMerge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/>
        </w:tc>
        <w:tc>
          <w:tcPr>
            <w:tcW w:w="769" w:type="dxa"/>
            <w:vMerge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/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spacing w:before="15" w:after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</w:p>
          <w:p w:rsidR="0073518D" w:rsidRDefault="00A4065B">
            <w:pPr>
              <w:pStyle w:val="Standard"/>
              <w:widowControl w:val="0"/>
              <w:spacing w:before="180"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  <w:p w:rsidR="0073518D" w:rsidRDefault="00A4065B">
            <w:pPr>
              <w:pStyle w:val="Standard"/>
              <w:widowControl w:val="0"/>
              <w:spacing w:before="180"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</w:t>
            </w:r>
          </w:p>
          <w:p w:rsidR="0073518D" w:rsidRDefault="00A4065B">
            <w:pPr>
              <w:pStyle w:val="Standard"/>
              <w:widowControl w:val="0"/>
              <w:spacing w:before="180" w:after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73518D"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3518D"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2542826,00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2542826,00</w:t>
            </w:r>
          </w:p>
        </w:tc>
      </w:tr>
      <w:tr w:rsidR="0073518D"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1840720,00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1840720,00</w:t>
            </w:r>
          </w:p>
        </w:tc>
      </w:tr>
      <w:tr w:rsidR="0073518D"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3044542,76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3044542,76</w:t>
            </w:r>
          </w:p>
        </w:tc>
      </w:tr>
      <w:tr w:rsidR="0073518D">
        <w:tc>
          <w:tcPr>
            <w:tcW w:w="769" w:type="dxa"/>
            <w:tcBorders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6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2644636,04</w:t>
            </w:r>
          </w:p>
        </w:tc>
        <w:tc>
          <w:tcPr>
            <w:tcW w:w="120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2644636,04</w:t>
            </w:r>
          </w:p>
        </w:tc>
      </w:tr>
      <w:tr w:rsidR="0073518D">
        <w:tc>
          <w:tcPr>
            <w:tcW w:w="769" w:type="dxa"/>
            <w:tcBorders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6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2116430,00</w:t>
            </w:r>
          </w:p>
        </w:tc>
        <w:tc>
          <w:tcPr>
            <w:tcW w:w="120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2116430,00</w:t>
            </w:r>
          </w:p>
        </w:tc>
      </w:tr>
      <w:tr w:rsidR="0073518D">
        <w:tc>
          <w:tcPr>
            <w:tcW w:w="769" w:type="dxa"/>
            <w:tcBorders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6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2116430,00</w:t>
            </w:r>
          </w:p>
        </w:tc>
        <w:tc>
          <w:tcPr>
            <w:tcW w:w="120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2116430,00</w:t>
            </w:r>
          </w:p>
        </w:tc>
      </w:tr>
      <w:tr w:rsidR="0073518D">
        <w:tc>
          <w:tcPr>
            <w:tcW w:w="769" w:type="dxa"/>
            <w:tcBorders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6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518D">
        <w:tc>
          <w:tcPr>
            <w:tcW w:w="769" w:type="dxa"/>
            <w:tcBorders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6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3518D"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6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73518D">
            <w:pPr>
              <w:pStyle w:val="Standard"/>
              <w:widowControl w:val="0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52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8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14305584,80</w:t>
            </w:r>
          </w:p>
        </w:tc>
        <w:tc>
          <w:tcPr>
            <w:tcW w:w="1209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14305584,80</w:t>
            </w:r>
          </w:p>
        </w:tc>
      </w:tr>
    </w:tbl>
    <w:p w:rsidR="0073518D" w:rsidRDefault="0073518D">
      <w:pPr>
        <w:pStyle w:val="Standard"/>
        <w:tabs>
          <w:tab w:val="left" w:pos="709"/>
        </w:tabs>
        <w:spacing w:line="276" w:lineRule="auto"/>
        <w:ind w:firstLine="709"/>
        <w:jc w:val="both"/>
        <w:rPr>
          <w:sz w:val="20"/>
          <w:szCs w:val="20"/>
        </w:rPr>
      </w:pPr>
    </w:p>
    <w:p w:rsidR="0073518D" w:rsidRDefault="00A4065B">
      <w:pPr>
        <w:pStyle w:val="Standard"/>
        <w:numPr>
          <w:ilvl w:val="1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Форму 2  к муниципальной программе изложить в новой редакции (прилагается).</w:t>
      </w:r>
    </w:p>
    <w:p w:rsidR="0073518D" w:rsidRDefault="00A4065B">
      <w:pPr>
        <w:pStyle w:val="Standard"/>
        <w:numPr>
          <w:ilvl w:val="1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Форму 3 к муниципальной программе изложить в новой </w:t>
      </w:r>
      <w:r>
        <w:rPr>
          <w:sz w:val="20"/>
          <w:szCs w:val="20"/>
        </w:rPr>
        <w:t>редакции (прилагается).</w:t>
      </w:r>
    </w:p>
    <w:p w:rsidR="0073518D" w:rsidRDefault="0073518D">
      <w:pPr>
        <w:pStyle w:val="Standard"/>
        <w:spacing w:line="276" w:lineRule="auto"/>
        <w:ind w:firstLine="709"/>
        <w:jc w:val="center"/>
        <w:rPr>
          <w:b/>
          <w:sz w:val="20"/>
          <w:szCs w:val="20"/>
        </w:rPr>
      </w:pPr>
    </w:p>
    <w:p w:rsidR="0073518D" w:rsidRDefault="0073518D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73518D" w:rsidRDefault="0073518D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AA5831" w:rsidRDefault="00AA5831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73518D" w:rsidRDefault="0073518D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73518D" w:rsidRDefault="0073518D">
      <w:pPr>
        <w:pStyle w:val="Standard"/>
        <w:spacing w:line="276" w:lineRule="auto"/>
        <w:ind w:firstLine="709"/>
        <w:jc w:val="center"/>
        <w:rPr>
          <w:sz w:val="20"/>
          <w:szCs w:val="20"/>
        </w:rPr>
      </w:pPr>
    </w:p>
    <w:p w:rsidR="0073518D" w:rsidRDefault="00A4065B">
      <w:pPr>
        <w:pStyle w:val="Standard"/>
        <w:tabs>
          <w:tab w:val="left" w:pos="660"/>
          <w:tab w:val="left" w:pos="1080"/>
          <w:tab w:val="right" w:pos="14570"/>
        </w:tabs>
        <w:spacing w:after="20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 к муниципальной программе</w:t>
      </w:r>
    </w:p>
    <w:p w:rsidR="0073518D" w:rsidRDefault="00A4065B">
      <w:pPr>
        <w:pStyle w:val="Standard"/>
        <w:tabs>
          <w:tab w:val="left" w:pos="660"/>
          <w:tab w:val="left" w:pos="1080"/>
          <w:tab w:val="right" w:pos="14570"/>
        </w:tabs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73518D" w:rsidRDefault="00A4065B">
      <w:pPr>
        <w:pStyle w:val="Standard"/>
        <w:tabs>
          <w:tab w:val="left" w:pos="660"/>
          <w:tab w:val="left" w:pos="1080"/>
          <w:tab w:val="right" w:pos="14570"/>
        </w:tabs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целевых индикаторов и показателей реализации муниципальной программы «Повышение безопасности дорожного движения на территории Коммунаровского   сельского поселения Ленинского муни</w:t>
      </w:r>
      <w:r>
        <w:rPr>
          <w:b/>
          <w:sz w:val="20"/>
          <w:szCs w:val="20"/>
        </w:rPr>
        <w:t>ципального района Волгоградской области »</w:t>
      </w:r>
    </w:p>
    <w:p w:rsidR="0073518D" w:rsidRDefault="0073518D">
      <w:pPr>
        <w:pStyle w:val="Standard"/>
        <w:tabs>
          <w:tab w:val="left" w:pos="660"/>
          <w:tab w:val="left" w:pos="1080"/>
          <w:tab w:val="right" w:pos="14570"/>
        </w:tabs>
        <w:spacing w:line="276" w:lineRule="auto"/>
        <w:jc w:val="center"/>
        <w:rPr>
          <w:b/>
          <w:sz w:val="20"/>
          <w:szCs w:val="20"/>
        </w:rPr>
      </w:pPr>
    </w:p>
    <w:tbl>
      <w:tblPr>
        <w:tblW w:w="9691" w:type="dxa"/>
        <w:jc w:val="center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19"/>
        <w:gridCol w:w="913"/>
        <w:gridCol w:w="465"/>
        <w:gridCol w:w="45"/>
        <w:gridCol w:w="888"/>
        <w:gridCol w:w="728"/>
        <w:gridCol w:w="1001"/>
        <w:gridCol w:w="1001"/>
        <w:gridCol w:w="1058"/>
        <w:gridCol w:w="1159"/>
        <w:gridCol w:w="1115"/>
        <w:gridCol w:w="1159"/>
      </w:tblGrid>
      <w:tr w:rsidR="0073518D" w:rsidTr="00AA5831">
        <w:trPr>
          <w:jc w:val="center"/>
        </w:trPr>
        <w:tc>
          <w:tcPr>
            <w:tcW w:w="1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518D" w:rsidRDefault="0073518D">
            <w:pPr>
              <w:pStyle w:val="Standard"/>
              <w:widowControl w:val="0"/>
              <w:spacing w:after="150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0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целевых индикаторов и показателей</w:t>
            </w:r>
          </w:p>
          <w:p w:rsidR="0073518D" w:rsidRDefault="0073518D">
            <w:pPr>
              <w:pStyle w:val="Standard"/>
              <w:widowControl w:val="0"/>
              <w:ind w:left="102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</w:t>
            </w:r>
          </w:p>
          <w:p w:rsidR="0073518D" w:rsidRDefault="00A4065B">
            <w:pPr>
              <w:pStyle w:val="Standard"/>
              <w:widowControl w:val="0"/>
              <w:spacing w:after="150"/>
              <w:ind w:left="1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8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1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годам</w:t>
            </w:r>
          </w:p>
        </w:tc>
      </w:tr>
      <w:tr w:rsidR="0073518D" w:rsidTr="00AA5831">
        <w:trPr>
          <w:jc w:val="center"/>
        </w:trPr>
        <w:tc>
          <w:tcPr>
            <w:tcW w:w="14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3518D" w:rsidRDefault="0073518D">
            <w:pPr>
              <w:pStyle w:val="Standard"/>
              <w:widowControl w:val="0"/>
              <w:ind w:left="102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73518D">
            <w:pPr>
              <w:pStyle w:val="Standard"/>
              <w:widowControl w:val="0"/>
              <w:ind w:left="102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73518D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73518D">
            <w:pPr>
              <w:pStyle w:val="Standard"/>
              <w:widowControl w:val="0"/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518D" w:rsidTr="00AA5831">
        <w:trPr>
          <w:gridBefore w:val="2"/>
          <w:wBefore w:w="159" w:type="dxa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3518D" w:rsidTr="00AA5831">
        <w:trPr>
          <w:jc w:val="center"/>
        </w:trPr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круглогодичного </w:t>
            </w:r>
            <w:proofErr w:type="gramStart"/>
            <w:r>
              <w:rPr>
                <w:sz w:val="20"/>
                <w:szCs w:val="20"/>
              </w:rPr>
              <w:t>содержания  сети автомобильных дорог общего пользования</w:t>
            </w:r>
            <w:r>
              <w:rPr>
                <w:sz w:val="20"/>
                <w:szCs w:val="20"/>
              </w:rPr>
              <w:t xml:space="preserve"> местного значения</w:t>
            </w:r>
            <w:proofErr w:type="gramEnd"/>
            <w:r>
              <w:rPr>
                <w:sz w:val="20"/>
                <w:szCs w:val="20"/>
              </w:rPr>
              <w:t xml:space="preserve"> в соответствии с нормативными требованиями </w:t>
            </w:r>
            <w:proofErr w:type="spellStart"/>
            <w:r>
              <w:rPr>
                <w:sz w:val="20"/>
                <w:szCs w:val="20"/>
              </w:rPr>
              <w:t>транспортно</w:t>
            </w:r>
            <w:proofErr w:type="spellEnd"/>
            <w:r>
              <w:rPr>
                <w:sz w:val="20"/>
                <w:szCs w:val="20"/>
              </w:rPr>
              <w:t xml:space="preserve"> – эксплуатационного состояния и условиями безопасности движения, по протяженности всей сети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ind w:left="10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км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3518D" w:rsidRDefault="00A4065B">
            <w:pPr>
              <w:pStyle w:val="Standard"/>
              <w:widowControl w:val="0"/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</w:tr>
    </w:tbl>
    <w:p w:rsidR="0073518D" w:rsidRDefault="0073518D">
      <w:pPr>
        <w:pStyle w:val="Standard"/>
        <w:spacing w:line="276" w:lineRule="auto"/>
        <w:jc w:val="right"/>
        <w:rPr>
          <w:sz w:val="20"/>
          <w:szCs w:val="20"/>
        </w:rPr>
      </w:pPr>
    </w:p>
    <w:p w:rsidR="0073518D" w:rsidRDefault="0073518D">
      <w:pPr>
        <w:pStyle w:val="Standard"/>
        <w:jc w:val="right"/>
        <w:rPr>
          <w:bCs/>
          <w:sz w:val="20"/>
          <w:szCs w:val="20"/>
        </w:rPr>
      </w:pPr>
    </w:p>
    <w:p w:rsidR="00AA5831" w:rsidRDefault="00AA5831">
      <w:pPr>
        <w:pStyle w:val="Standard"/>
        <w:jc w:val="right"/>
        <w:rPr>
          <w:bCs/>
          <w:sz w:val="20"/>
          <w:szCs w:val="20"/>
        </w:rPr>
      </w:pPr>
    </w:p>
    <w:p w:rsidR="0073518D" w:rsidRDefault="00A4065B">
      <w:pPr>
        <w:pStyle w:val="Standard"/>
        <w:jc w:val="right"/>
      </w:pPr>
      <w:r>
        <w:rPr>
          <w:bCs/>
          <w:sz w:val="20"/>
          <w:szCs w:val="20"/>
        </w:rPr>
        <w:lastRenderedPageBreak/>
        <w:t xml:space="preserve">   </w:t>
      </w:r>
      <w:r>
        <w:rPr>
          <w:sz w:val="20"/>
          <w:szCs w:val="20"/>
        </w:rPr>
        <w:t xml:space="preserve">Форма 2 к </w:t>
      </w:r>
      <w:r>
        <w:rPr>
          <w:sz w:val="20"/>
          <w:szCs w:val="20"/>
        </w:rPr>
        <w:t>муниципальной программе</w:t>
      </w:r>
    </w:p>
    <w:p w:rsidR="0073518D" w:rsidRDefault="00A4065B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«Повышение безопасности дорожного движения</w:t>
      </w:r>
    </w:p>
    <w:p w:rsidR="0073518D" w:rsidRDefault="00A4065B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на территории Коммунаровского сельского поселения</w:t>
      </w:r>
    </w:p>
    <w:p w:rsidR="0073518D" w:rsidRDefault="00A4065B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Ленинского района Волгоградской области»</w:t>
      </w:r>
    </w:p>
    <w:p w:rsidR="0073518D" w:rsidRDefault="0073518D">
      <w:pPr>
        <w:pStyle w:val="Standard"/>
        <w:ind w:right="-1"/>
        <w:rPr>
          <w:b/>
          <w:bCs/>
          <w:sz w:val="20"/>
          <w:szCs w:val="20"/>
        </w:rPr>
      </w:pPr>
    </w:p>
    <w:p w:rsidR="0073518D" w:rsidRDefault="00A4065B">
      <w:pPr>
        <w:pStyle w:val="Standard"/>
        <w:ind w:right="-1"/>
        <w:jc w:val="center"/>
      </w:pPr>
      <w:r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ПЕРЕЧЕНЬ</w:t>
      </w:r>
    </w:p>
    <w:p w:rsidR="0073518D" w:rsidRDefault="00A4065B">
      <w:pPr>
        <w:pStyle w:val="Standard"/>
        <w:ind w:right="-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мероприятий муниципальной программы</w:t>
      </w:r>
    </w:p>
    <w:p w:rsidR="0073518D" w:rsidRDefault="00A4065B">
      <w:pPr>
        <w:pStyle w:val="Standard"/>
        <w:ind w:right="-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«Повышение безопасности дорожного движения на </w:t>
      </w:r>
      <w:r>
        <w:rPr>
          <w:b/>
          <w:bCs/>
          <w:sz w:val="20"/>
          <w:szCs w:val="20"/>
        </w:rPr>
        <w:t>территории Коммунаровского сельского поселения Ленинского муниципального района Волгоградской области »</w:t>
      </w:r>
    </w:p>
    <w:p w:rsidR="0073518D" w:rsidRDefault="0073518D">
      <w:pPr>
        <w:pStyle w:val="Standard"/>
        <w:spacing w:line="276" w:lineRule="auto"/>
        <w:rPr>
          <w:sz w:val="20"/>
          <w:szCs w:val="20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1446"/>
        <w:gridCol w:w="1140"/>
        <w:gridCol w:w="1020"/>
        <w:gridCol w:w="900"/>
        <w:gridCol w:w="1020"/>
        <w:gridCol w:w="739"/>
        <w:gridCol w:w="783"/>
        <w:gridCol w:w="795"/>
        <w:gridCol w:w="750"/>
        <w:gridCol w:w="932"/>
      </w:tblGrid>
      <w:tr w:rsidR="0073518D" w:rsidTr="00AA5831">
        <w:trPr>
          <w:trHeight w:val="221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 мероприятий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финансирования руб.</w:t>
            </w:r>
          </w:p>
        </w:tc>
      </w:tr>
      <w:tr w:rsidR="0073518D" w:rsidTr="00AA5831">
        <w:trPr>
          <w:trHeight w:val="610"/>
        </w:trPr>
        <w:tc>
          <w:tcPr>
            <w:tcW w:w="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/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2029г.</w:t>
            </w:r>
          </w:p>
        </w:tc>
      </w:tr>
      <w:tr w:rsidR="0073518D" w:rsidTr="00AA5831">
        <w:trPr>
          <w:trHeight w:val="2565"/>
        </w:trPr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автомобильных дорог общего пользования в границах населенных пунктов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8056,64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970,350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Standard"/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920,72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1819,31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1653,4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1346,43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1346,43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3518D" w:rsidRDefault="00A4065B">
            <w:pPr>
              <w:pStyle w:val="Textbody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518D" w:rsidTr="00AA5831"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5495,90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518D" w:rsidTr="00AA5831"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улично-дорожной сети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450,02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518D" w:rsidTr="00AA5831"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и эксплуатация специальной дорожной техники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303,03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303,03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3518D" w:rsidTr="00AA5831"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73518D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14305,58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2542,82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1840,72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3044,54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Standard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2644,64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2116,43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2116,43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8D" w:rsidRDefault="00A4065B">
            <w:pPr>
              <w:pStyle w:val="Textbody"/>
              <w:widowControl w:val="0"/>
              <w:spacing w:after="1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73518D" w:rsidRDefault="0073518D">
      <w:pPr>
        <w:pStyle w:val="Textbody"/>
        <w:jc w:val="right"/>
        <w:rPr>
          <w:rFonts w:ascii="Times New Roman" w:hAnsi="Times New Roman"/>
          <w:sz w:val="20"/>
          <w:szCs w:val="20"/>
        </w:rPr>
      </w:pPr>
    </w:p>
    <w:p w:rsidR="0073518D" w:rsidRDefault="0073518D">
      <w:pPr>
        <w:pStyle w:val="Standard"/>
        <w:rPr>
          <w:sz w:val="20"/>
          <w:szCs w:val="20"/>
        </w:rPr>
      </w:pPr>
    </w:p>
    <w:p w:rsidR="0073518D" w:rsidRDefault="0073518D">
      <w:pPr>
        <w:pStyle w:val="Standard"/>
        <w:widowControl w:val="0"/>
        <w:jc w:val="right"/>
        <w:outlineLvl w:val="2"/>
        <w:rPr>
          <w:sz w:val="20"/>
          <w:szCs w:val="20"/>
        </w:rPr>
      </w:pPr>
    </w:p>
    <w:p w:rsidR="0073518D" w:rsidRDefault="0073518D">
      <w:pPr>
        <w:pStyle w:val="Standard"/>
        <w:widowControl w:val="0"/>
        <w:jc w:val="right"/>
        <w:outlineLvl w:val="2"/>
        <w:rPr>
          <w:sz w:val="20"/>
          <w:szCs w:val="20"/>
        </w:rPr>
      </w:pPr>
    </w:p>
    <w:p w:rsidR="0073518D" w:rsidRDefault="0073518D">
      <w:pPr>
        <w:pStyle w:val="Standard"/>
        <w:widowControl w:val="0"/>
        <w:jc w:val="right"/>
        <w:outlineLvl w:val="2"/>
        <w:rPr>
          <w:sz w:val="20"/>
          <w:szCs w:val="20"/>
        </w:rPr>
      </w:pPr>
    </w:p>
    <w:p w:rsidR="00AA5831" w:rsidRDefault="00AA5831">
      <w:pPr>
        <w:pStyle w:val="Standard"/>
        <w:widowControl w:val="0"/>
        <w:jc w:val="right"/>
        <w:outlineLvl w:val="2"/>
        <w:rPr>
          <w:sz w:val="20"/>
          <w:szCs w:val="20"/>
        </w:rPr>
      </w:pPr>
    </w:p>
    <w:p w:rsidR="0073518D" w:rsidRDefault="0073518D">
      <w:pPr>
        <w:pStyle w:val="Standard"/>
        <w:widowControl w:val="0"/>
        <w:jc w:val="right"/>
        <w:outlineLvl w:val="2"/>
        <w:rPr>
          <w:sz w:val="20"/>
          <w:szCs w:val="20"/>
        </w:rPr>
      </w:pPr>
    </w:p>
    <w:p w:rsidR="0073518D" w:rsidRDefault="00A4065B">
      <w:pPr>
        <w:pStyle w:val="Standard"/>
        <w:widowControl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>Форма 3</w:t>
      </w:r>
    </w:p>
    <w:p w:rsidR="0073518D" w:rsidRDefault="00A4065B">
      <w:pPr>
        <w:pStyle w:val="Standard"/>
        <w:widowControl w:val="0"/>
        <w:spacing w:line="22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РЕСУРСНОЕ ОБЕСПЕЧЕНИЕ</w:t>
      </w:r>
    </w:p>
    <w:p w:rsidR="0073518D" w:rsidRDefault="0073518D">
      <w:pPr>
        <w:pStyle w:val="Standard"/>
        <w:widowControl w:val="0"/>
        <w:spacing w:line="220" w:lineRule="exact"/>
        <w:jc w:val="center"/>
        <w:rPr>
          <w:sz w:val="20"/>
          <w:szCs w:val="20"/>
        </w:rPr>
      </w:pPr>
    </w:p>
    <w:p w:rsidR="0073518D" w:rsidRDefault="00A4065B">
      <w:pPr>
        <w:pStyle w:val="Standard"/>
        <w:widowControl w:val="0"/>
        <w:jc w:val="center"/>
      </w:pPr>
      <w:r>
        <w:rPr>
          <w:sz w:val="20"/>
          <w:szCs w:val="20"/>
        </w:rPr>
        <w:t>муниципальной программы Коммунаровского сельского поселения Ленинского муниципального района Волгоградской области</w:t>
      </w:r>
      <w:r>
        <w:rPr>
          <w:spacing w:val="-6"/>
          <w:sz w:val="20"/>
          <w:szCs w:val="20"/>
        </w:rPr>
        <w:t xml:space="preserve"> за счет средств, привлеченных из различных источников финансирования,</w:t>
      </w:r>
    </w:p>
    <w:p w:rsidR="0073518D" w:rsidRDefault="00A4065B">
      <w:pPr>
        <w:pStyle w:val="Standard"/>
        <w:widowControl w:val="0"/>
        <w:jc w:val="center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с распределением по </w:t>
      </w:r>
      <w:r>
        <w:rPr>
          <w:spacing w:val="-6"/>
          <w:sz w:val="20"/>
          <w:szCs w:val="20"/>
        </w:rPr>
        <w:t>главным распорядителям средств бюджета Коммунаровского сельского поселения</w:t>
      </w:r>
    </w:p>
    <w:tbl>
      <w:tblPr>
        <w:tblW w:w="10543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3"/>
        <w:gridCol w:w="1134"/>
        <w:gridCol w:w="2268"/>
        <w:gridCol w:w="992"/>
        <w:gridCol w:w="924"/>
        <w:gridCol w:w="850"/>
        <w:gridCol w:w="1061"/>
        <w:gridCol w:w="851"/>
      </w:tblGrid>
      <w:tr w:rsidR="0073518D" w:rsidTr="00AA5831">
        <w:trPr>
          <w:trHeight w:val="60"/>
          <w:tblHeader/>
        </w:trPr>
        <w:tc>
          <w:tcPr>
            <w:tcW w:w="24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государственной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Объемы и источники ф</w:t>
            </w:r>
            <w:r>
              <w:rPr>
                <w:rFonts w:eastAsia="Calibri"/>
                <w:sz w:val="20"/>
                <w:szCs w:val="20"/>
              </w:rPr>
              <w:t>инансирования (</w:t>
            </w:r>
            <w:proofErr w:type="spellStart"/>
            <w:r>
              <w:rPr>
                <w:rFonts w:eastAsia="Calibri"/>
                <w:sz w:val="20"/>
                <w:szCs w:val="20"/>
              </w:rPr>
              <w:t>тыс</w:t>
            </w:r>
            <w:proofErr w:type="gramStart"/>
            <w:r>
              <w:rPr>
                <w:rFonts w:eastAsia="Calibri"/>
                <w:sz w:val="20"/>
                <w:szCs w:val="20"/>
              </w:rPr>
              <w:t>.р</w:t>
            </w:r>
            <w:proofErr w:type="gramEnd"/>
            <w:r>
              <w:rPr>
                <w:rFonts w:eastAsia="Calibri"/>
                <w:sz w:val="20"/>
                <w:szCs w:val="20"/>
              </w:rPr>
              <w:t>ублей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73518D" w:rsidTr="00AA5831">
        <w:trPr>
          <w:trHeight w:val="120"/>
          <w:tblHeader/>
        </w:trPr>
        <w:tc>
          <w:tcPr>
            <w:tcW w:w="24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том числе</w:t>
            </w:r>
          </w:p>
        </w:tc>
      </w:tr>
      <w:tr w:rsidR="0073518D" w:rsidTr="00AA5831">
        <w:trPr>
          <w:trHeight w:val="960"/>
          <w:tblHeader/>
        </w:trPr>
        <w:tc>
          <w:tcPr>
            <w:tcW w:w="24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местный</w:t>
            </w:r>
          </w:p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внебюджетные</w:t>
            </w:r>
          </w:p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средства</w:t>
            </w:r>
          </w:p>
        </w:tc>
      </w:tr>
      <w:tr w:rsidR="0073518D" w:rsidTr="00AA5831">
        <w:trPr>
          <w:tblHeader/>
        </w:trPr>
        <w:tc>
          <w:tcPr>
            <w:tcW w:w="2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spacing w:line="210" w:lineRule="exact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73518D" w:rsidTr="00AA5831">
        <w:trPr>
          <w:tblHeader/>
        </w:trPr>
        <w:tc>
          <w:tcPr>
            <w:tcW w:w="24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spacing w:line="160" w:lineRule="exact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3518D" w:rsidTr="00AA5831">
        <w:tc>
          <w:tcPr>
            <w:tcW w:w="24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Муниципальная программа</w:t>
            </w:r>
          </w:p>
          <w:p w:rsidR="0073518D" w:rsidRDefault="0073518D">
            <w:pPr>
              <w:pStyle w:val="Standard"/>
              <w:widowControl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2022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2023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2024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2026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2029</w:t>
            </w:r>
          </w:p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Администрация Коммунаровского </w:t>
            </w:r>
            <w:r>
              <w:rPr>
                <w:rFonts w:eastAsia="Calibri"/>
                <w:sz w:val="20"/>
                <w:szCs w:val="20"/>
              </w:rPr>
              <w:t>сельского поселения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2542,82</w:t>
            </w:r>
          </w:p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1840,72</w:t>
            </w:r>
          </w:p>
          <w:p w:rsidR="0073518D" w:rsidRDefault="00A4065B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3044,54</w:t>
            </w:r>
          </w:p>
          <w:p w:rsidR="0073518D" w:rsidRDefault="00A4065B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2644,64</w:t>
            </w:r>
          </w:p>
          <w:p w:rsidR="0073518D" w:rsidRDefault="00A4065B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2116,43</w:t>
            </w:r>
          </w:p>
          <w:p w:rsidR="0073518D" w:rsidRDefault="00A4065B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2116,43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2542,82</w:t>
            </w:r>
          </w:p>
          <w:p w:rsidR="0073518D" w:rsidRDefault="00A4065B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1840,72</w:t>
            </w:r>
          </w:p>
          <w:p w:rsidR="0073518D" w:rsidRDefault="00A4065B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3044,54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2644,64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2116,43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2116,43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3518D" w:rsidTr="00AA5831">
        <w:tc>
          <w:tcPr>
            <w:tcW w:w="24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3518D" w:rsidTr="00AA5831">
        <w:tc>
          <w:tcPr>
            <w:tcW w:w="246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Итого по муниципальной</w:t>
            </w:r>
          </w:p>
          <w:p w:rsidR="0073518D" w:rsidRDefault="00A4065B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программе</w:t>
            </w:r>
          </w:p>
          <w:p w:rsidR="0073518D" w:rsidRDefault="0073518D">
            <w:pPr>
              <w:pStyle w:val="Standard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73518D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14305,58</w:t>
            </w:r>
          </w:p>
        </w:tc>
        <w:tc>
          <w:tcPr>
            <w:tcW w:w="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14305,58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518D" w:rsidRDefault="00A4065B">
            <w:pPr>
              <w:pStyle w:val="Standard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</w:tr>
    </w:tbl>
    <w:p w:rsidR="0073518D" w:rsidRDefault="0073518D">
      <w:pPr>
        <w:pStyle w:val="Standard"/>
        <w:rPr>
          <w:sz w:val="20"/>
          <w:szCs w:val="20"/>
        </w:rPr>
      </w:pPr>
    </w:p>
    <w:p w:rsidR="0073518D" w:rsidRDefault="0073518D"/>
    <w:sectPr w:rsidR="0073518D" w:rsidSect="00AA5831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5B" w:rsidRDefault="00A4065B">
      <w:r>
        <w:separator/>
      </w:r>
    </w:p>
  </w:endnote>
  <w:endnote w:type="continuationSeparator" w:id="0">
    <w:p w:rsidR="00A4065B" w:rsidRDefault="00A4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Times New Roman"/>
    <w:charset w:val="CC"/>
    <w:family w:val="swiss"/>
    <w:pitch w:val="default"/>
    <w:sig w:usb0="00000001" w:usb1="4000207B" w:usb2="00000000" w:usb3="00000000" w:csb0="2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5B" w:rsidRDefault="00A4065B">
      <w:r>
        <w:separator/>
      </w:r>
    </w:p>
  </w:footnote>
  <w:footnote w:type="continuationSeparator" w:id="0">
    <w:p w:rsidR="00A4065B" w:rsidRDefault="00A4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2613"/>
    <w:multiLevelType w:val="multilevel"/>
    <w:tmpl w:val="0ECB2613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666CE6"/>
    <w:multiLevelType w:val="multilevel"/>
    <w:tmpl w:val="16666CE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/>
        <w:b w:val="0"/>
        <w:sz w:val="28"/>
      </w:rPr>
    </w:lvl>
    <w:lvl w:ilvl="2">
      <w:start w:val="1"/>
      <w:numFmt w:val="decimal"/>
      <w:lvlText w:val="%1.%2.%3."/>
      <w:lvlJc w:val="left"/>
      <w:pPr>
        <w:ind w:left="1425" w:hanging="720"/>
      </w:pPr>
      <w:rPr>
        <w:rFonts w:eastAsia="Calibri"/>
        <w:b w:val="0"/>
        <w:sz w:val="28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eastAsia="Calibri"/>
        <w:b w:val="0"/>
        <w:sz w:val="28"/>
      </w:rPr>
    </w:lvl>
    <w:lvl w:ilvl="4">
      <w:start w:val="1"/>
      <w:numFmt w:val="decimal"/>
      <w:lvlText w:val="%1.%2.%3.%4.%5."/>
      <w:lvlJc w:val="left"/>
      <w:pPr>
        <w:ind w:left="1785" w:hanging="1080"/>
      </w:pPr>
      <w:rPr>
        <w:rFonts w:eastAsia="Calibri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eastAsia="Calibri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2505" w:hanging="1800"/>
      </w:pPr>
      <w:rPr>
        <w:rFonts w:eastAsia="Calibri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2505" w:hanging="1800"/>
      </w:pPr>
      <w:rPr>
        <w:rFonts w:eastAsia="Calibri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2865" w:hanging="2160"/>
      </w:pPr>
      <w:rPr>
        <w:rFonts w:eastAsia="Calibri"/>
        <w:b w:val="0"/>
        <w:sz w:val="28"/>
      </w:rPr>
    </w:lvl>
  </w:abstractNum>
  <w:abstractNum w:abstractNumId="2">
    <w:nsid w:val="17817210"/>
    <w:multiLevelType w:val="multilevel"/>
    <w:tmpl w:val="1781721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314" w:hanging="720"/>
      </w:pPr>
    </w:lvl>
    <w:lvl w:ilvl="3">
      <w:start w:val="1"/>
      <w:numFmt w:val="decimal"/>
      <w:lvlText w:val="%1.%2.%3.%4."/>
      <w:lvlJc w:val="left"/>
      <w:pPr>
        <w:ind w:left="1341" w:hanging="720"/>
      </w:pPr>
    </w:lvl>
    <w:lvl w:ilvl="4">
      <w:start w:val="1"/>
      <w:numFmt w:val="decimal"/>
      <w:lvlText w:val="%1.%2.%3.%4.%5."/>
      <w:lvlJc w:val="left"/>
      <w:pPr>
        <w:ind w:left="1728" w:hanging="1080"/>
      </w:pPr>
    </w:lvl>
    <w:lvl w:ilvl="5">
      <w:start w:val="1"/>
      <w:numFmt w:val="decimal"/>
      <w:lvlText w:val="%1.%2.%3.%4.%5.%6."/>
      <w:lvlJc w:val="left"/>
      <w:pPr>
        <w:ind w:left="1755" w:hanging="1080"/>
      </w:pPr>
    </w:lvl>
    <w:lvl w:ilvl="6">
      <w:start w:val="1"/>
      <w:numFmt w:val="decimal"/>
      <w:lvlText w:val="%1.%2.%3.%4.%5.%6.%7."/>
      <w:lvlJc w:val="left"/>
      <w:pPr>
        <w:ind w:left="2142" w:hanging="1440"/>
      </w:pPr>
    </w:lvl>
    <w:lvl w:ilvl="7">
      <w:start w:val="1"/>
      <w:numFmt w:val="decimal"/>
      <w:lvlText w:val="%1.%2.%3.%4.%5.%6.%7.%8."/>
      <w:lvlJc w:val="left"/>
      <w:pPr>
        <w:ind w:left="2169" w:hanging="1440"/>
      </w:pPr>
    </w:lvl>
    <w:lvl w:ilvl="8">
      <w:start w:val="1"/>
      <w:numFmt w:val="decimal"/>
      <w:lvlText w:val="%1.%2.%3.%4.%5.%6.%7.%8.%9."/>
      <w:lvlJc w:val="left"/>
      <w:pPr>
        <w:ind w:left="2556" w:hanging="1800"/>
      </w:pPr>
    </w:lvl>
  </w:abstractNum>
  <w:abstractNum w:abstractNumId="3">
    <w:nsid w:val="5AF94DBE"/>
    <w:multiLevelType w:val="multilevel"/>
    <w:tmpl w:val="5AF94DB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314" w:hanging="720"/>
      </w:pPr>
    </w:lvl>
    <w:lvl w:ilvl="3">
      <w:start w:val="1"/>
      <w:numFmt w:val="decimal"/>
      <w:lvlText w:val="%1.%2.%3.%4."/>
      <w:lvlJc w:val="left"/>
      <w:pPr>
        <w:ind w:left="1341" w:hanging="720"/>
      </w:pPr>
    </w:lvl>
    <w:lvl w:ilvl="4">
      <w:start w:val="1"/>
      <w:numFmt w:val="decimal"/>
      <w:lvlText w:val="%1.%2.%3.%4.%5."/>
      <w:lvlJc w:val="left"/>
      <w:pPr>
        <w:ind w:left="1728" w:hanging="1080"/>
      </w:pPr>
    </w:lvl>
    <w:lvl w:ilvl="5">
      <w:start w:val="1"/>
      <w:numFmt w:val="decimal"/>
      <w:lvlText w:val="%1.%2.%3.%4.%5.%6."/>
      <w:lvlJc w:val="left"/>
      <w:pPr>
        <w:ind w:left="1755" w:hanging="1080"/>
      </w:pPr>
    </w:lvl>
    <w:lvl w:ilvl="6">
      <w:start w:val="1"/>
      <w:numFmt w:val="decimal"/>
      <w:lvlText w:val="%1.%2.%3.%4.%5.%6.%7."/>
      <w:lvlJc w:val="left"/>
      <w:pPr>
        <w:ind w:left="2142" w:hanging="1440"/>
      </w:pPr>
    </w:lvl>
    <w:lvl w:ilvl="7">
      <w:start w:val="1"/>
      <w:numFmt w:val="decimal"/>
      <w:lvlText w:val="%1.%2.%3.%4.%5.%6.%7.%8."/>
      <w:lvlJc w:val="left"/>
      <w:pPr>
        <w:ind w:left="2169" w:hanging="1440"/>
      </w:pPr>
    </w:lvl>
    <w:lvl w:ilvl="8">
      <w:start w:val="1"/>
      <w:numFmt w:val="decimal"/>
      <w:lvlText w:val="%1.%2.%3.%4.%5.%6.%7.%8.%9."/>
      <w:lvlJc w:val="left"/>
      <w:pPr>
        <w:ind w:left="2556" w:hanging="1800"/>
      </w:p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E3"/>
    <w:rsid w:val="00011FD0"/>
    <w:rsid w:val="001239C5"/>
    <w:rsid w:val="00367113"/>
    <w:rsid w:val="0073518D"/>
    <w:rsid w:val="0079185F"/>
    <w:rsid w:val="007A5FD3"/>
    <w:rsid w:val="009A6161"/>
    <w:rsid w:val="00A4065B"/>
    <w:rsid w:val="00AA393F"/>
    <w:rsid w:val="00AA5831"/>
    <w:rsid w:val="00B6799D"/>
    <w:rsid w:val="00C128E3"/>
    <w:rsid w:val="00E51394"/>
    <w:rsid w:val="1E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standardContextual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a">
    <w:name w:val="Balloon Text"/>
    <w:basedOn w:val="a"/>
    <w:link w:val="ab"/>
    <w:uiPriority w:val="99"/>
    <w:semiHidden/>
    <w:unhideWhenUsed/>
    <w:rsid w:val="00AA5831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A5831"/>
    <w:rPr>
      <w:rFonts w:ascii="Tahoma" w:eastAsia="NSimSun" w:hAnsi="Tahoma" w:cs="Mangal"/>
      <w:kern w:val="3"/>
      <w:sz w:val="16"/>
      <w:szCs w:val="14"/>
      <w:lang w:eastAsia="zh-CN" w:bidi="hi-I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standardContextual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a">
    <w:name w:val="Balloon Text"/>
    <w:basedOn w:val="a"/>
    <w:link w:val="ab"/>
    <w:uiPriority w:val="99"/>
    <w:semiHidden/>
    <w:unhideWhenUsed/>
    <w:rsid w:val="00AA5831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AA5831"/>
    <w:rPr>
      <w:rFonts w:ascii="Tahoma" w:eastAsia="NSimSun" w:hAnsi="Tahoma" w:cs="Mangal"/>
      <w:kern w:val="3"/>
      <w:sz w:val="16"/>
      <w:szCs w:val="14"/>
      <w:lang w:eastAsia="zh-CN"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Коммунаровского сельского поселения</dc:creator>
  <cp:lastModifiedBy>Бредихина </cp:lastModifiedBy>
  <cp:revision>3</cp:revision>
  <cp:lastPrinted>2025-04-22T10:07:00Z</cp:lastPrinted>
  <dcterms:created xsi:type="dcterms:W3CDTF">2025-04-02T07:08:00Z</dcterms:created>
  <dcterms:modified xsi:type="dcterms:W3CDTF">2025-04-22T10:07:00Z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4E2D87F8DD0D48E0B57DD9E71F696BF6_13</vt:lpwstr>
  </property>
</Properties>
</file>